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D1BCE">
        <w:rPr>
          <w:rFonts w:ascii="Palatino Linotype" w:hAnsi="Palatino Linotype" w:cs="Arial"/>
          <w:b/>
        </w:rPr>
        <w:t>SEXTA</w:t>
      </w:r>
      <w:r>
        <w:rPr>
          <w:rFonts w:ascii="Palatino Linotype" w:hAnsi="Palatino Linotype" w:cs="Arial"/>
          <w:b/>
        </w:rPr>
        <w:t xml:space="preserve"> SESIÓN ORDINARIA DE</w:t>
      </w:r>
      <w:r w:rsidR="005B4F98">
        <w:rPr>
          <w:rFonts w:ascii="Palatino Linotype" w:hAnsi="Palatino Linotype" w:cs="Arial"/>
          <w:b/>
        </w:rPr>
        <w:t xml:space="preserve"> </w:t>
      </w:r>
      <w:r w:rsidR="00BD1BCE">
        <w:rPr>
          <w:rFonts w:ascii="Palatino Linotype" w:hAnsi="Palatino Linotype" w:cs="Arial"/>
          <w:b/>
        </w:rPr>
        <w:t>TRECE DE FEBRERO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BD1BCE">
        <w:rPr>
          <w:rFonts w:ascii="Palatino Linotype" w:hAnsi="Palatino Linotype" w:cs="Arial"/>
          <w:b/>
        </w:rPr>
        <w:t>4403</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BD1BCE">
        <w:rPr>
          <w:rFonts w:ascii="Palatino Linotype" w:hAnsi="Palatino Linotype" w:cs="Arial"/>
          <w:b/>
        </w:rPr>
        <w:t>4403</w:t>
      </w:r>
      <w:r w:rsidR="00255F32">
        <w:rPr>
          <w:rFonts w:ascii="Palatino Linotype" w:hAnsi="Palatino Linotype" w:cs="Arial"/>
          <w:b/>
        </w:rPr>
        <w:t>/</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 xml:space="preserve">o </w:t>
      </w:r>
      <w:r w:rsidR="00BD1BCE">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tocante al fundamento referido en el resolutivo QUINTO</w:t>
      </w:r>
      <w:r w:rsidRPr="00D93A88">
        <w:rPr>
          <w:rFonts w:ascii="Palatino Linotype" w:hAnsi="Palatino Linotype"/>
        </w:rPr>
        <w:t>.</w:t>
      </w:r>
    </w:p>
    <w:p w:rsidR="004D34A9" w:rsidRDefault="00F7009C" w:rsidP="004B17F5">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BD1BCE">
        <w:rPr>
          <w:rFonts w:ascii="Palatino Linotype" w:hAnsi="Palatino Linotype"/>
        </w:rPr>
        <w:t xml:space="preserve"> la </w:t>
      </w:r>
      <w:r w:rsidR="00BD1BCE" w:rsidRPr="009E3E6F">
        <w:rPr>
          <w:rFonts w:ascii="Palatino Linotype" w:hAnsi="Palatino Linotype"/>
          <w:b/>
          <w:bCs/>
        </w:rPr>
        <w:t>Secretaría de Educación</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4D34A9">
        <w:rPr>
          <w:rFonts w:ascii="Palatino Linotype" w:hAnsi="Palatino Linotype"/>
        </w:rPr>
        <w:t>la siguiente información:</w:t>
      </w:r>
    </w:p>
    <w:p w:rsidR="00D21672" w:rsidRDefault="004D34A9" w:rsidP="004D34A9">
      <w:pPr>
        <w:ind w:left="567" w:right="567"/>
        <w:jc w:val="both"/>
        <w:rPr>
          <w:rFonts w:ascii="Palatino Linotype" w:hAnsi="Palatino Linotype"/>
          <w:i/>
          <w:sz w:val="22"/>
          <w:szCs w:val="22"/>
          <w:lang w:val="es-ES_tradnl"/>
        </w:rPr>
      </w:pPr>
      <w:r w:rsidRPr="004D34A9">
        <w:rPr>
          <w:rFonts w:ascii="Palatino Linotype" w:hAnsi="Palatino Linotype"/>
          <w:i/>
          <w:sz w:val="22"/>
          <w:szCs w:val="22"/>
          <w:lang w:val="es-ES_tradnl"/>
        </w:rPr>
        <w:lastRenderedPageBreak/>
        <w:t>“</w:t>
      </w:r>
      <w:r w:rsidR="00BD1BCE" w:rsidRPr="00DB231F">
        <w:rPr>
          <w:rFonts w:ascii="Palatino Linotype" w:hAnsi="Palatino Linotype"/>
          <w:i/>
          <w:sz w:val="22"/>
          <w:szCs w:val="22"/>
        </w:rPr>
        <w:t>1.</w:t>
      </w:r>
      <w:r w:rsidR="00BD1BCE" w:rsidRPr="00DB231F">
        <w:rPr>
          <w:rFonts w:ascii="Palatino Linotype" w:hAnsi="Palatino Linotype"/>
          <w:i/>
          <w:sz w:val="22"/>
          <w:szCs w:val="22"/>
        </w:rPr>
        <w:tab/>
        <w:t>Quiero saber el procedimiento y/o mecanismo y/o requisitos específicos para determinar el PORCENTAJE DE BECA a los beneficiarios de nivel primaria y secundaria de escuelas particulares incorporadas a la Secretaría de Educación del Gobierno del Estado de México del PROGRAMA FAMILIAS FUERTES CON BECAS DE EXENCIÓN PROMOCIÓN 2018 - 2019. 2.</w:t>
      </w:r>
      <w:r w:rsidR="00BD1BCE" w:rsidRPr="00DB231F">
        <w:rPr>
          <w:rFonts w:ascii="Palatino Linotype" w:hAnsi="Palatino Linotype"/>
          <w:i/>
          <w:sz w:val="22"/>
          <w:szCs w:val="22"/>
        </w:rPr>
        <w:tab/>
        <w:t xml:space="preserve">Se solicita el nombre y apellidos de cada uno de los beneficiarios del PROGRAMA FAMILIAS FUERTES CON BECAS DE EXENCIÓN PROMOCIÓN 2018 - 2019 nivel </w:t>
      </w:r>
      <w:proofErr w:type="gramStart"/>
      <w:r w:rsidR="00BD1BCE" w:rsidRPr="00DB231F">
        <w:rPr>
          <w:rFonts w:ascii="Palatino Linotype" w:hAnsi="Palatino Linotype"/>
          <w:i/>
          <w:sz w:val="22"/>
          <w:szCs w:val="22"/>
        </w:rPr>
        <w:t>primaria y secundaria</w:t>
      </w:r>
      <w:proofErr w:type="gramEnd"/>
      <w:r w:rsidR="00BD1BCE" w:rsidRPr="00DB231F">
        <w:rPr>
          <w:rFonts w:ascii="Palatino Linotype" w:hAnsi="Palatino Linotype"/>
          <w:i/>
          <w:sz w:val="22"/>
          <w:szCs w:val="22"/>
        </w:rPr>
        <w:t>, así como el porcentaje de beca otorgado a cada uno de ellos. 3.</w:t>
      </w:r>
      <w:r w:rsidR="00BD1BCE" w:rsidRPr="00DB231F">
        <w:rPr>
          <w:rFonts w:ascii="Palatino Linotype" w:hAnsi="Palatino Linotype"/>
          <w:i/>
          <w:sz w:val="22"/>
          <w:szCs w:val="22"/>
        </w:rPr>
        <w:tab/>
        <w:t>Para aquellos beneficiarios del PROGRAMA FAMILIAS FUERTES CON BECAS DE EXENCIÓN PROMOCIÓN 2018 - 2019, y que obtuvieron un porcentaje igual o mayor al 30%, se solicita el nombre y apellidos de cada uno de los beneficiarios, así como el promedio general que obtuvieron en el ciclo escolar que la convocatoria establece; así como el ingreso mensual del padre, madre o tutor por cada uno de ellos. 4.</w:t>
      </w:r>
      <w:r w:rsidR="00BD1BCE" w:rsidRPr="00DB231F">
        <w:rPr>
          <w:rFonts w:ascii="Palatino Linotype" w:hAnsi="Palatino Linotype"/>
          <w:i/>
          <w:sz w:val="22"/>
          <w:szCs w:val="22"/>
        </w:rPr>
        <w:tab/>
        <w:t>Se solicita la cantidad total de aquellas solicitudes que no fueron aprobadas y los motivos. 5.</w:t>
      </w:r>
      <w:r w:rsidR="00BD1BCE" w:rsidRPr="00DB231F">
        <w:rPr>
          <w:rFonts w:ascii="Palatino Linotype" w:hAnsi="Palatino Linotype"/>
          <w:i/>
          <w:sz w:val="22"/>
          <w:szCs w:val="22"/>
        </w:rPr>
        <w:tab/>
        <w:t>Se solicita se informe el nombre y apellidos de los o las servidores públicos que intervienen en el proceso de asignación de porcentaje de beca del PROGRAMA FAMILIAS FUERTES CON BECAS DE EXENCIÓN PROMOCIÓN 2018 - 2019, si este proceso para el otorgamiento del porcentaje d</w:t>
      </w:r>
      <w:r w:rsidR="00BD1BCE">
        <w:rPr>
          <w:rFonts w:ascii="Palatino Linotype" w:hAnsi="Palatino Linotype"/>
          <w:i/>
          <w:sz w:val="22"/>
          <w:szCs w:val="22"/>
        </w:rPr>
        <w:t>e beca es presencial o en línea</w:t>
      </w:r>
      <w:r w:rsidR="002F4562" w:rsidRPr="002F4562">
        <w:rPr>
          <w:rFonts w:ascii="Palatino Linotype" w:hAnsi="Palatino Linotype"/>
          <w:i/>
          <w:sz w:val="22"/>
          <w:szCs w:val="22"/>
          <w:lang w:val="es-ES_tradnl"/>
        </w:rPr>
        <w:t>.</w:t>
      </w:r>
      <w:r w:rsidRPr="004D34A9">
        <w:rPr>
          <w:rFonts w:ascii="Palatino Linotype" w:hAnsi="Palatino Linotype"/>
          <w:i/>
          <w:sz w:val="22"/>
          <w:szCs w:val="22"/>
          <w:lang w:val="es-ES_tradnl"/>
        </w:rPr>
        <w:t>” (</w:t>
      </w:r>
      <w:proofErr w:type="gramStart"/>
      <w:r w:rsidRPr="004D34A9">
        <w:rPr>
          <w:rFonts w:ascii="Palatino Linotype" w:hAnsi="Palatino Linotype"/>
          <w:i/>
          <w:sz w:val="22"/>
          <w:szCs w:val="22"/>
          <w:lang w:val="es-ES_tradnl"/>
        </w:rPr>
        <w:t>sic</w:t>
      </w:r>
      <w:proofErr w:type="gramEnd"/>
      <w:r w:rsidRPr="004D34A9">
        <w:rPr>
          <w:rFonts w:ascii="Palatino Linotype" w:hAnsi="Palatino Linotype"/>
          <w:i/>
          <w:sz w:val="22"/>
          <w:szCs w:val="22"/>
          <w:lang w:val="es-ES_tradnl"/>
        </w:rPr>
        <w:t>)</w:t>
      </w:r>
    </w:p>
    <w:p w:rsidR="004D34A9" w:rsidRPr="004D34A9" w:rsidRDefault="004D34A9" w:rsidP="004D34A9">
      <w:pPr>
        <w:ind w:left="567" w:right="567"/>
        <w:jc w:val="both"/>
        <w:rPr>
          <w:rFonts w:ascii="Palatino Linotype" w:hAnsi="Palatino Linotype"/>
          <w:i/>
          <w:sz w:val="22"/>
          <w:szCs w:val="22"/>
          <w:lang w:val="es-ES_tradnl"/>
        </w:rPr>
      </w:pPr>
    </w:p>
    <w:p w:rsidR="000D1731" w:rsidRDefault="00F7009C" w:rsidP="004B17F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243881">
        <w:rPr>
          <w:rFonts w:ascii="Palatino Linotype" w:hAnsi="Palatino Linotype" w:cs="Arial"/>
        </w:rPr>
        <w:t xml:space="preserve"> remitió </w:t>
      </w:r>
      <w:r w:rsidR="0019622B">
        <w:rPr>
          <w:rFonts w:ascii="Palatino Linotype" w:hAnsi="Palatino Linotype" w:cs="Arial"/>
        </w:rPr>
        <w:t>tres archivos electrónicos</w:t>
      </w:r>
      <w:r w:rsidR="00475B49">
        <w:rPr>
          <w:rFonts w:ascii="Palatino Linotype" w:hAnsi="Palatino Linotype" w:cs="Arial"/>
        </w:rPr>
        <w:t xml:space="preserve"> con los que pretendió</w:t>
      </w:r>
      <w:r w:rsidR="00FB1347">
        <w:rPr>
          <w:rFonts w:ascii="Palatino Linotype" w:hAnsi="Palatino Linotype" w:cs="Arial"/>
        </w:rPr>
        <w:t xml:space="preserve"> satisfa</w:t>
      </w:r>
      <w:r w:rsidR="002A26CD">
        <w:rPr>
          <w:rFonts w:ascii="Palatino Linotype" w:hAnsi="Palatino Linotype" w:cs="Arial"/>
        </w:rPr>
        <w:t>cer la solicitud del particular</w:t>
      </w:r>
      <w:r w:rsidR="00FB1347">
        <w:rPr>
          <w:rFonts w:ascii="Palatino Linotype" w:hAnsi="Palatino Linotype" w:cs="Arial"/>
          <w:lang w:val="es-MX"/>
        </w:rPr>
        <w:t>.</w:t>
      </w:r>
      <w:r w:rsidR="00716A47">
        <w:rPr>
          <w:rFonts w:ascii="Palatino Linotype" w:hAnsi="Palatino Linotype" w:cs="Arial"/>
        </w:rPr>
        <w:t xml:space="preserve">  </w:t>
      </w:r>
    </w:p>
    <w:p w:rsidR="000D1731" w:rsidRPr="006B517F" w:rsidRDefault="000D1731" w:rsidP="004B17F5">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 como razones o motivos de inconformidad lo siguiente:</w:t>
      </w:r>
    </w:p>
    <w:p w:rsidR="00FB1347" w:rsidRPr="00FB1347" w:rsidRDefault="000D1731" w:rsidP="0056089B">
      <w:pPr>
        <w:spacing w:before="100" w:beforeAutospacing="1" w:after="100" w:afterAutospacing="1"/>
        <w:ind w:left="709" w:right="1041"/>
        <w:jc w:val="both"/>
        <w:rPr>
          <w:rFonts w:ascii="Palatino Linotype" w:hAnsi="Palatino Linotype" w:cs="Arial"/>
          <w:i/>
          <w:sz w:val="22"/>
        </w:rPr>
      </w:pPr>
      <w:r w:rsidRPr="00F04F4E">
        <w:rPr>
          <w:rFonts w:ascii="Palatino Linotype" w:hAnsi="Palatino Linotype" w:cs="Arial"/>
          <w:i/>
          <w:sz w:val="22"/>
        </w:rPr>
        <w:t>“</w:t>
      </w:r>
      <w:r w:rsidR="000A435F" w:rsidRPr="00D00ECE">
        <w:rPr>
          <w:rFonts w:ascii="Palatino Linotype" w:eastAsia="Calibri" w:hAnsi="Palatino Linotype" w:cs="Arial"/>
          <w:i/>
          <w:sz w:val="22"/>
          <w:szCs w:val="22"/>
        </w:rPr>
        <w:t>Sin respuesta a lo solicitado</w:t>
      </w:r>
      <w:r w:rsidR="000A435F" w:rsidRPr="00F04F4E">
        <w:rPr>
          <w:rFonts w:ascii="Palatino Linotype" w:hAnsi="Palatino Linotype" w:cs="Arial"/>
          <w:i/>
          <w:sz w:val="22"/>
        </w:rPr>
        <w:t xml:space="preserve"> </w:t>
      </w:r>
      <w:r w:rsidRPr="00F04F4E">
        <w:rPr>
          <w:rFonts w:ascii="Palatino Linotype" w:hAnsi="Palatino Linotype" w:cs="Arial"/>
          <w:i/>
          <w:sz w:val="22"/>
        </w:rPr>
        <w:t>“</w:t>
      </w:r>
      <w:r>
        <w:rPr>
          <w:rFonts w:ascii="Palatino Linotype" w:hAnsi="Palatino Linotype" w:cs="Arial"/>
          <w:i/>
          <w:sz w:val="22"/>
        </w:rPr>
        <w:t>(</w:t>
      </w:r>
      <w:r w:rsidRPr="00F04F4E">
        <w:rPr>
          <w:rFonts w:ascii="Palatino Linotype" w:hAnsi="Palatino Linotype" w:cs="Arial"/>
          <w:i/>
          <w:sz w:val="22"/>
        </w:rPr>
        <w:t>Sic)</w:t>
      </w:r>
    </w:p>
    <w:p w:rsidR="004526B8" w:rsidRDefault="004526B8" w:rsidP="004526B8">
      <w:pPr>
        <w:spacing w:line="360" w:lineRule="auto"/>
        <w:ind w:right="49"/>
        <w:jc w:val="both"/>
        <w:rPr>
          <w:rFonts w:ascii="Palatino Linotype" w:hAnsi="Palatino Linotype" w:cs="Aria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Pr="004526B8">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 xml:space="preserve">la respuesta del </w:t>
      </w:r>
      <w:r w:rsidRPr="000D1731">
        <w:rPr>
          <w:rFonts w:ascii="Palatino Linotype" w:hAnsi="Palatino Linotype" w:cs="Arial"/>
          <w:b/>
        </w:rPr>
        <w:t>SUJETO OBLIGADO</w:t>
      </w:r>
      <w:r w:rsidRPr="006078FA">
        <w:rPr>
          <w:rFonts w:ascii="Palatino Linotype" w:hAnsi="Palatino Linotype" w:cs="Arial"/>
        </w:rPr>
        <w:t xml:space="preserve">, </w:t>
      </w:r>
      <w:r w:rsidRPr="00E70CE6">
        <w:rPr>
          <w:rFonts w:ascii="Palatino Linotype" w:hAnsi="Palatino Linotype" w:cs="Arial"/>
        </w:rPr>
        <w:t>y ordenarle</w:t>
      </w:r>
      <w:r w:rsidRPr="006078FA">
        <w:rPr>
          <w:rFonts w:ascii="Palatino Linotype" w:hAnsi="Palatino Linotype" w:cs="Arial"/>
        </w:rPr>
        <w:t xml:space="preserve"> </w:t>
      </w:r>
      <w:r>
        <w:rPr>
          <w:rFonts w:ascii="Palatino Linotype" w:hAnsi="Palatino Linotype" w:cs="Arial"/>
        </w:rPr>
        <w:t xml:space="preserve">la entrega de: </w:t>
      </w:r>
      <w:r w:rsidRPr="00507AD1">
        <w:rPr>
          <w:rFonts w:ascii="Palatino Linotype" w:hAnsi="Palatino Linotype" w:cs="Arial"/>
        </w:rPr>
        <w:t xml:space="preserve"> </w:t>
      </w:r>
    </w:p>
    <w:p w:rsidR="004526B8" w:rsidRDefault="004526B8" w:rsidP="004526B8">
      <w:pPr>
        <w:spacing w:line="360" w:lineRule="auto"/>
        <w:ind w:right="49"/>
        <w:jc w:val="both"/>
        <w:rPr>
          <w:rFonts w:ascii="Palatino Linotype" w:hAnsi="Palatino Linotype" w:cs="Arial"/>
        </w:rPr>
      </w:pPr>
    </w:p>
    <w:p w:rsidR="000A435F" w:rsidRPr="000A435F" w:rsidRDefault="004526B8" w:rsidP="000A435F">
      <w:pPr>
        <w:ind w:left="709" w:right="757"/>
        <w:jc w:val="both"/>
        <w:rPr>
          <w:rFonts w:ascii="Palatino Linotype" w:hAnsi="Palatino Linotype" w:cs="Arial"/>
          <w:i/>
          <w:sz w:val="22"/>
        </w:rPr>
      </w:pPr>
      <w:r>
        <w:rPr>
          <w:rFonts w:ascii="Palatino Linotype" w:hAnsi="Palatino Linotype" w:cs="Arial"/>
        </w:rPr>
        <w:lastRenderedPageBreak/>
        <w:t>“</w:t>
      </w:r>
      <w:r w:rsidR="000A435F" w:rsidRPr="000A435F">
        <w:rPr>
          <w:rFonts w:ascii="Palatino Linotype" w:hAnsi="Palatino Linotype" w:cs="Arial"/>
          <w:i/>
          <w:sz w:val="22"/>
        </w:rPr>
        <w:t>1.</w:t>
      </w:r>
      <w:r w:rsidR="000A435F" w:rsidRPr="000A435F">
        <w:rPr>
          <w:rFonts w:ascii="Palatino Linotype" w:hAnsi="Palatino Linotype" w:cs="Arial"/>
          <w:i/>
          <w:sz w:val="22"/>
        </w:rPr>
        <w:tab/>
      </w:r>
      <w:r w:rsidR="000A435F" w:rsidRPr="000A435F">
        <w:rPr>
          <w:rFonts w:ascii="Palatino Linotype" w:hAnsi="Palatino Linotype" w:cs="Arial"/>
          <w:b/>
          <w:i/>
          <w:sz w:val="22"/>
        </w:rPr>
        <w:t>El Acuerdo de Clasificación emitido por el Comité de Transparencia</w:t>
      </w:r>
      <w:r w:rsidR="000A435F" w:rsidRPr="000A435F">
        <w:rPr>
          <w:rFonts w:ascii="Palatino Linotype" w:hAnsi="Palatino Linotype" w:cs="Arial"/>
          <w:i/>
          <w:sz w:val="22"/>
        </w:rPr>
        <w:t xml:space="preserve">, en el que se clasifique como información confidencial el nombre y promedio de los alumnos beneficiados en el Programa Familias Fuertes Con Becas De Exención Promoción 2018 – 2019, así como el nombre e ingreso económicos de los padres de familia o tutores de los alumnos beneficiados; y </w:t>
      </w:r>
    </w:p>
    <w:p w:rsidR="00D21672" w:rsidRDefault="000A435F" w:rsidP="000A435F">
      <w:pPr>
        <w:ind w:left="709" w:right="757"/>
        <w:jc w:val="both"/>
        <w:rPr>
          <w:rFonts w:ascii="Palatino Linotype" w:hAnsi="Palatino Linotype" w:cs="Arial"/>
          <w:i/>
          <w:sz w:val="22"/>
        </w:rPr>
      </w:pPr>
      <w:r w:rsidRPr="000A435F">
        <w:rPr>
          <w:rFonts w:ascii="Palatino Linotype" w:hAnsi="Palatino Linotype" w:cs="Arial"/>
          <w:i/>
          <w:sz w:val="22"/>
        </w:rPr>
        <w:t>2.</w:t>
      </w:r>
      <w:r w:rsidRPr="000A435F">
        <w:rPr>
          <w:rFonts w:ascii="Palatino Linotype" w:hAnsi="Palatino Linotype" w:cs="Arial"/>
          <w:i/>
          <w:sz w:val="22"/>
        </w:rPr>
        <w:tab/>
        <w:t xml:space="preserve">En versión publica los documentos </w:t>
      </w:r>
      <w:r w:rsidRPr="000A435F">
        <w:rPr>
          <w:rFonts w:ascii="Palatino Linotype" w:hAnsi="Palatino Linotype" w:cs="Arial"/>
          <w:b/>
          <w:i/>
          <w:sz w:val="22"/>
        </w:rPr>
        <w:t>donde consten lo relacionado a las 39,512</w:t>
      </w:r>
      <w:r w:rsidRPr="000A435F">
        <w:rPr>
          <w:rFonts w:ascii="Palatino Linotype" w:hAnsi="Palatino Linotype" w:cs="Arial"/>
          <w:i/>
          <w:sz w:val="22"/>
        </w:rPr>
        <w:t xml:space="preserve"> solicitudes aprobadas del Programa Familias Fuertes Con Becas de Exención Promoción 2018 – 2019, especificando el nivel de escolaridad y porcentaje de beca otorgada.</w:t>
      </w:r>
      <w:r w:rsidR="004526B8" w:rsidRPr="006078FA">
        <w:rPr>
          <w:rFonts w:ascii="Palatino Linotype" w:eastAsia="Arial Unicode MS" w:hAnsi="Palatino Linotype" w:cs="Arial"/>
          <w:i/>
          <w:sz w:val="22"/>
        </w:rPr>
        <w:t>”</w:t>
      </w:r>
      <w:r w:rsidR="004526B8">
        <w:rPr>
          <w:rFonts w:ascii="Palatino Linotype" w:eastAsia="Arial Unicode MS" w:hAnsi="Palatino Linotype" w:cs="Arial"/>
          <w:i/>
          <w:sz w:val="22"/>
        </w:rPr>
        <w:t xml:space="preserve"> (Sic.</w:t>
      </w:r>
      <w:r>
        <w:rPr>
          <w:rFonts w:ascii="Palatino Linotype" w:eastAsia="Arial Unicode MS" w:hAnsi="Palatino Linotype" w:cs="Arial"/>
          <w:i/>
          <w:sz w:val="22"/>
        </w:rPr>
        <w:t>)</w:t>
      </w:r>
    </w:p>
    <w:p w:rsidR="004526B8" w:rsidRPr="004526B8" w:rsidRDefault="004526B8" w:rsidP="004526B8">
      <w:pPr>
        <w:ind w:left="709" w:right="757"/>
        <w:jc w:val="both"/>
        <w:rPr>
          <w:rFonts w:ascii="Palatino Linotype" w:hAnsi="Palatino Linotype" w:cs="Arial"/>
          <w:i/>
          <w:sz w:val="22"/>
        </w:rPr>
      </w:pPr>
    </w:p>
    <w:p w:rsidR="00BD1BCE"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w:t>
      </w:r>
      <w:r w:rsidR="00475B49">
        <w:rPr>
          <w:rFonts w:ascii="Palatino Linotype" w:hAnsi="Palatino Linotype" w:cs="Arial"/>
        </w:rPr>
        <w:t xml:space="preserve"> lo anterior se advierte que los artículos 159 y 160 de la Ley de la materia </w:t>
      </w:r>
      <w:r>
        <w:rPr>
          <w:rFonts w:ascii="Palatino Linotype" w:hAnsi="Palatino Linotype" w:cs="Arial"/>
        </w:rPr>
        <w:t>no resulta</w:t>
      </w:r>
      <w:r w:rsidR="00475B49">
        <w:rPr>
          <w:rFonts w:ascii="Palatino Linotype" w:hAnsi="Palatino Linotype" w:cs="Arial"/>
        </w:rPr>
        <w:t>n</w:t>
      </w:r>
      <w:r>
        <w:rPr>
          <w:rFonts w:ascii="Palatino Linotype" w:hAnsi="Palatino Linotype" w:cs="Arial"/>
        </w:rPr>
        <w:t xml:space="preserve"> aplicable</w:t>
      </w:r>
      <w:r w:rsidR="00475B49">
        <w:rPr>
          <w:rFonts w:ascii="Palatino Linotype" w:hAnsi="Palatino Linotype" w:cs="Arial"/>
        </w:rPr>
        <w:t>s</w:t>
      </w:r>
      <w:r>
        <w:rPr>
          <w:rFonts w:ascii="Palatino Linotype" w:hAnsi="Palatino Linotype" w:cs="Arial"/>
        </w:rPr>
        <w:t xml:space="preserve"> al asunto en concreto, toda vez que no se advierte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tanto en su respuesta, como al momento de rendir su Informe Justificado, no remite ningún Acuerdo de Inexistencia;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BD1BCE" w:rsidRPr="00CB5F2A"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de lo anterior, que la Ponencia </w:t>
      </w:r>
      <w:proofErr w:type="spellStart"/>
      <w:r>
        <w:rPr>
          <w:rFonts w:ascii="Palatino Linotype" w:hAnsi="Palatino Linotype" w:cs="Arial"/>
        </w:rPr>
        <w:t>Resolutora</w:t>
      </w:r>
      <w:proofErr w:type="spellEnd"/>
      <w:r>
        <w:rPr>
          <w:rFonts w:ascii="Palatino Linotype" w:hAnsi="Palatino Linotype" w:cs="Arial"/>
        </w:rPr>
        <w:t xml:space="preserve"> invoca dichos artículos para el momento en el que </w:t>
      </w:r>
      <w:r w:rsidRPr="00CB5F2A">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 xml:space="preserve">dé cumplimiento del resolutivo segundo </w:t>
      </w:r>
      <w:r w:rsidR="000A435F">
        <w:rPr>
          <w:rFonts w:ascii="Palatino Linotype" w:hAnsi="Palatino Linotype" w:cs="Arial"/>
        </w:rPr>
        <w:t>punto 1</w:t>
      </w:r>
      <w:r>
        <w:rPr>
          <w:rFonts w:ascii="Palatino Linotype" w:hAnsi="Palatino Linotype" w:cs="Arial"/>
        </w:rPr>
        <w:t xml:space="preserve"> en donde ordenan la entrega del Acuerdo </w:t>
      </w:r>
      <w:r w:rsidR="000A435F">
        <w:rPr>
          <w:rFonts w:ascii="Palatino Linotype" w:hAnsi="Palatino Linotype" w:cs="Arial"/>
        </w:rPr>
        <w:t>de Clasificación</w:t>
      </w:r>
      <w:r>
        <w:rPr>
          <w:rFonts w:ascii="Palatino Linotype" w:hAnsi="Palatino Linotype" w:cs="Arial"/>
        </w:rPr>
        <w:t>; sin embargo, la que suscribe considera que los artículos 159 y 160 de la Ley de la materia no aplican al caso en concreto, toda vez que se trata de un hecho futuro al depender del cumplimiento de la resolución por lo que no se está confirmando ni modificando</w:t>
      </w:r>
    </w:p>
    <w:p w:rsidR="00BD1BCE"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w:t>
      </w:r>
      <w:r>
        <w:rPr>
          <w:rFonts w:ascii="Palatino Linotype" w:hAnsi="Palatino Linotype" w:cs="Arial"/>
        </w:rPr>
        <w:lastRenderedPageBreak/>
        <w:t>remitido el Acuerdo del Comité de Tran</w:t>
      </w:r>
      <w:r w:rsidR="000A435F">
        <w:rPr>
          <w:rFonts w:ascii="Palatino Linotype" w:hAnsi="Palatino Linotype" w:cs="Arial"/>
        </w:rPr>
        <w:t xml:space="preserve">sparencia en virtud del cual </w:t>
      </w:r>
      <w:r w:rsidR="00475B49">
        <w:rPr>
          <w:rFonts w:ascii="Palatino Linotype" w:hAnsi="Palatino Linotype" w:cs="Arial"/>
        </w:rPr>
        <w:t>clasificara</w:t>
      </w:r>
      <w:r>
        <w:rPr>
          <w:rFonts w:ascii="Palatino Linotype" w:hAnsi="Palatino Linotype" w:cs="Arial"/>
        </w:rPr>
        <w:t xml:space="preserve"> la información requerida,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0473A1" w:rsidRDefault="000A435F"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Asimismo, se considera que al ordenar </w:t>
      </w:r>
      <w:r w:rsidRPr="000473A1">
        <w:rPr>
          <w:rFonts w:ascii="Palatino Linotype" w:hAnsi="Palatino Linotype" w:cs="Arial"/>
          <w:i/>
        </w:rPr>
        <w:t>“lo relacionado</w:t>
      </w:r>
      <w:r w:rsidR="000473A1" w:rsidRPr="000473A1">
        <w:rPr>
          <w:rFonts w:ascii="Palatino Linotype" w:hAnsi="Palatino Linotype" w:cs="Arial"/>
          <w:i/>
        </w:rPr>
        <w:t xml:space="preserve"> a las 39,512 solicitudes”</w:t>
      </w:r>
      <w:r w:rsidR="00685A7A">
        <w:rPr>
          <w:rFonts w:ascii="Palatino Linotype" w:hAnsi="Palatino Linotype" w:cs="Arial"/>
        </w:rPr>
        <w:t xml:space="preserve"> no está siendo lo suficientemente específico, ya que el ahora </w:t>
      </w:r>
      <w:r w:rsidR="00685A7A" w:rsidRPr="00685A7A">
        <w:rPr>
          <w:rFonts w:ascii="Palatino Linotype" w:hAnsi="Palatino Linotype" w:cs="Arial"/>
          <w:b/>
        </w:rPr>
        <w:t>RECURRENTE</w:t>
      </w:r>
      <w:r w:rsidR="00685A7A">
        <w:rPr>
          <w:rFonts w:ascii="Palatino Linotype" w:hAnsi="Palatino Linotype" w:cs="Arial"/>
          <w:b/>
        </w:rPr>
        <w:t xml:space="preserve"> </w:t>
      </w:r>
      <w:r w:rsidR="00685A7A">
        <w:rPr>
          <w:rFonts w:ascii="Palatino Linotype" w:hAnsi="Palatino Linotype" w:cs="Arial"/>
        </w:rPr>
        <w:t>requiere saber el número de solicitudes que no fueron aprobadas así como los motivos, lo anterior en relación al programa referido en la solicitud.</w:t>
      </w:r>
    </w:p>
    <w:p w:rsidR="00685A7A" w:rsidRDefault="00685A7A"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 lo anterior se advierte que al no dejar totalmente claro lo que se ordena dentro del resolutivo SEGUNDO en su punto 2</w:t>
      </w:r>
      <w:r w:rsidR="000D3987">
        <w:rPr>
          <w:rFonts w:ascii="Palatino Linotype" w:hAnsi="Palatino Linotype" w:cs="Arial"/>
        </w:rPr>
        <w:t xml:space="preserve">, </w:t>
      </w:r>
      <w:r w:rsidR="000D3987" w:rsidRPr="000D3987">
        <w:rPr>
          <w:rFonts w:ascii="Palatino Linotype" w:hAnsi="Palatino Linotype" w:cs="Arial"/>
          <w:b/>
        </w:rPr>
        <w:t>EL SUJETO OBLIGADO</w:t>
      </w:r>
      <w:r w:rsidR="000D3987">
        <w:rPr>
          <w:rFonts w:ascii="Palatino Linotype" w:hAnsi="Palatino Linotype" w:cs="Arial"/>
          <w:b/>
        </w:rPr>
        <w:t xml:space="preserve"> </w:t>
      </w:r>
      <w:r w:rsidR="000D3987">
        <w:rPr>
          <w:rFonts w:ascii="Palatino Linotype" w:hAnsi="Palatino Linotype" w:cs="Arial"/>
        </w:rPr>
        <w:t xml:space="preserve">no tendrá certeza de la información que tendrá que remitir al particular, es así que se considera que se debió precisar </w:t>
      </w:r>
      <w:r w:rsidR="00475B49">
        <w:rPr>
          <w:rFonts w:ascii="Palatino Linotype" w:hAnsi="Palatino Linotype" w:cs="Arial"/>
        </w:rPr>
        <w:t>d</w:t>
      </w:r>
      <w:r w:rsidR="000D3987">
        <w:rPr>
          <w:rFonts w:ascii="Palatino Linotype" w:hAnsi="Palatino Linotype" w:cs="Arial"/>
        </w:rPr>
        <w:t>e manera clara tanto dentro del estudio como en resolutivos.</w:t>
      </w:r>
    </w:p>
    <w:p w:rsidR="000D3987" w:rsidRDefault="000D3987" w:rsidP="000D3987">
      <w:pPr>
        <w:spacing w:before="100" w:beforeAutospacing="1" w:after="100" w:afterAutospacing="1" w:line="360" w:lineRule="auto"/>
        <w:ind w:right="49"/>
        <w:jc w:val="both"/>
        <w:rPr>
          <w:rFonts w:ascii="Palatino Linotype" w:hAnsi="Palatino Linotype" w:cs="Arial"/>
        </w:rPr>
      </w:pPr>
      <w:r w:rsidRPr="002D604C">
        <w:rPr>
          <w:rFonts w:ascii="Palatino Linotype" w:hAnsi="Palatino Linotype" w:cs="Arial"/>
        </w:rPr>
        <w:t xml:space="preserve">Lo anterior, </w:t>
      </w:r>
      <w:r>
        <w:rPr>
          <w:rFonts w:ascii="Palatino Linotype" w:hAnsi="Palatino Linotype" w:cs="Arial"/>
        </w:rPr>
        <w:t>de conformidad con lo señalado en el artículo 9, fracción I de la Ley de Transparencia y Acceso a la Información Pública del Estado de Mexica y Municipios, que establece:</w:t>
      </w:r>
    </w:p>
    <w:p w:rsidR="000D3987" w:rsidRDefault="000D3987" w:rsidP="000D3987">
      <w:pPr>
        <w:spacing w:before="100" w:beforeAutospacing="1" w:after="100" w:afterAutospacing="1"/>
        <w:ind w:left="709" w:right="757"/>
        <w:jc w:val="both"/>
        <w:rPr>
          <w:rFonts w:ascii="Palatino Linotype" w:hAnsi="Palatino Linotype" w:cs="Arial"/>
          <w:i/>
          <w:sz w:val="22"/>
        </w:rPr>
      </w:pPr>
      <w:r>
        <w:rPr>
          <w:rFonts w:ascii="Palatino Linotype" w:hAnsi="Palatino Linotype" w:cs="Arial"/>
          <w:b/>
          <w:i/>
          <w:sz w:val="22"/>
        </w:rPr>
        <w:t>“</w:t>
      </w: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rsidR="000D3987" w:rsidRDefault="000D3987" w:rsidP="000D3987">
      <w:pPr>
        <w:pStyle w:val="Prrafodelista"/>
        <w:numPr>
          <w:ilvl w:val="0"/>
          <w:numId w:val="16"/>
        </w:numPr>
        <w:spacing w:before="100" w:beforeAutospacing="1" w:after="100" w:afterAutospacing="1"/>
        <w:ind w:right="757"/>
        <w:jc w:val="both"/>
        <w:rPr>
          <w:rFonts w:ascii="Palatino Linotype" w:hAnsi="Palatino Linotype" w:cs="Arial"/>
          <w:i/>
          <w:sz w:val="22"/>
        </w:rPr>
      </w:pPr>
      <w:r>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0D3987" w:rsidRPr="000D3987" w:rsidRDefault="000D3987" w:rsidP="000D3987">
      <w:pPr>
        <w:spacing w:before="100" w:beforeAutospacing="1" w:after="100" w:afterAutospacing="1"/>
        <w:ind w:left="709" w:right="757"/>
        <w:jc w:val="both"/>
        <w:rPr>
          <w:rFonts w:ascii="Palatino Linotype" w:hAnsi="Palatino Linotype" w:cs="Arial"/>
          <w:i/>
          <w:sz w:val="22"/>
        </w:rPr>
      </w:pPr>
      <w:r w:rsidRPr="00411080">
        <w:rPr>
          <w:rFonts w:ascii="Palatino Linotype" w:hAnsi="Palatino Linotype" w:cs="Arial"/>
          <w:i/>
          <w:sz w:val="22"/>
        </w:rPr>
        <w:t>…</w:t>
      </w:r>
      <w:r>
        <w:rPr>
          <w:rFonts w:ascii="Palatino Linotype" w:hAnsi="Palatino Linotype" w:cs="Arial"/>
          <w:i/>
          <w:sz w:val="22"/>
        </w:rPr>
        <w:t>”</w:t>
      </w:r>
    </w:p>
    <w:p w:rsidR="00F7009C"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se considera que no se debieron invocar dichos artículos en el resolutivo QUINTO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de procedencia señalados en los numerales </w:t>
      </w:r>
      <w:r w:rsidRPr="00DF304A">
        <w:rPr>
          <w:rFonts w:ascii="Palatino Linotype" w:hAnsi="Palatino Linotype" w:cs="Arial"/>
        </w:rPr>
        <w:t>159 y 160 de la Ley General de Transparencia y Acceso a la Información Pública</w:t>
      </w:r>
      <w:r w:rsidR="000D3987">
        <w:rPr>
          <w:rFonts w:ascii="Palatino Linotype" w:hAnsi="Palatino Linotype" w:cs="Arial"/>
        </w:rPr>
        <w:t xml:space="preserve">, asimismo, se debió precisar de manera clara </w:t>
      </w:r>
      <w:r w:rsidR="00475B49">
        <w:rPr>
          <w:rFonts w:ascii="Palatino Linotype" w:hAnsi="Palatino Linotype" w:cs="Arial"/>
        </w:rPr>
        <w:t>y precisa respecto</w:t>
      </w:r>
      <w:r w:rsidR="000D3987">
        <w:rPr>
          <w:rFonts w:ascii="Palatino Linotype" w:hAnsi="Palatino Linotype" w:cs="Arial"/>
        </w:rPr>
        <w:t xml:space="preserve"> del punto 2 del resolutivo SEGUNDO</w:t>
      </w:r>
      <w:r w:rsidR="00475B49">
        <w:rPr>
          <w:rFonts w:ascii="Palatino Linotype" w:hAnsi="Palatino Linotype" w:cs="Arial"/>
        </w:rPr>
        <w:t xml:space="preserve"> la información concerniente a “todo lo relacionado”</w:t>
      </w:r>
      <w:r w:rsidR="000D3987">
        <w:rPr>
          <w:rFonts w:ascii="Palatino Linotype" w:hAnsi="Palatino Linotype" w:cs="Arial"/>
        </w:rPr>
        <w:t xml:space="preserve"> </w:t>
      </w:r>
      <w:r w:rsidR="00787892">
        <w:rPr>
          <w:rFonts w:ascii="Palatino Linotype" w:hAnsi="Palatino Linotype" w:cs="Arial"/>
        </w:rPr>
        <w:t>a fin de otorgar certeza jurídica a las partes</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43"/>
        <w:tblOverlap w:val="never"/>
        <w:tblW w:w="2665" w:type="dxa"/>
        <w:tblLayout w:type="fixed"/>
        <w:tblLook w:val="04A0" w:firstRow="1" w:lastRow="0" w:firstColumn="1" w:lastColumn="0" w:noHBand="0" w:noVBand="1"/>
      </w:tblPr>
      <w:tblGrid>
        <w:gridCol w:w="2665"/>
      </w:tblGrid>
      <w:tr w:rsidR="00475B49" w:rsidRPr="001B6F4B" w:rsidTr="00475B49">
        <w:trPr>
          <w:trHeight w:val="741"/>
        </w:trPr>
        <w:tc>
          <w:tcPr>
            <w:tcW w:w="2665" w:type="dxa"/>
          </w:tcPr>
          <w:p w:rsidR="00475B49" w:rsidRDefault="00475B49" w:rsidP="00475B49">
            <w:pPr>
              <w:ind w:right="49"/>
              <w:rPr>
                <w:rFonts w:ascii="Palatino Linotype" w:hAnsi="Palatino Linotype" w:cs="Arial"/>
                <w:b/>
              </w:rPr>
            </w:pPr>
          </w:p>
          <w:p w:rsidR="00475B49" w:rsidRDefault="00475B49" w:rsidP="00475B49">
            <w:pPr>
              <w:ind w:right="49"/>
              <w:jc w:val="center"/>
              <w:rPr>
                <w:rFonts w:ascii="Palatino Linotype" w:hAnsi="Palatino Linotype" w:cs="Arial"/>
                <w:b/>
              </w:rPr>
            </w:pPr>
          </w:p>
          <w:p w:rsidR="00475B49" w:rsidRDefault="00475B49" w:rsidP="00475B49">
            <w:pPr>
              <w:ind w:right="49"/>
              <w:jc w:val="center"/>
              <w:rPr>
                <w:rFonts w:ascii="Palatino Linotype" w:hAnsi="Palatino Linotype" w:cs="Arial"/>
                <w:b/>
              </w:rPr>
            </w:pPr>
          </w:p>
          <w:p w:rsidR="00EF28E1" w:rsidRDefault="00EF28E1" w:rsidP="00475B49">
            <w:pPr>
              <w:ind w:right="49"/>
              <w:jc w:val="center"/>
              <w:rPr>
                <w:rFonts w:ascii="Palatino Linotype" w:hAnsi="Palatino Linotype" w:cs="Arial"/>
                <w:b/>
              </w:rPr>
            </w:pPr>
          </w:p>
          <w:p w:rsidR="00EF28E1" w:rsidRDefault="00EF28E1" w:rsidP="00475B49">
            <w:pPr>
              <w:ind w:right="49"/>
              <w:jc w:val="center"/>
              <w:rPr>
                <w:rFonts w:ascii="Palatino Linotype" w:hAnsi="Palatino Linotype" w:cs="Arial"/>
                <w:b/>
              </w:rPr>
            </w:pPr>
          </w:p>
          <w:p w:rsidR="00EF28E1" w:rsidRDefault="00EF28E1" w:rsidP="00475B49">
            <w:pPr>
              <w:ind w:right="49"/>
              <w:jc w:val="center"/>
              <w:rPr>
                <w:rFonts w:ascii="Palatino Linotype" w:hAnsi="Palatino Linotype" w:cs="Arial"/>
                <w:b/>
              </w:rPr>
            </w:pPr>
          </w:p>
          <w:p w:rsidR="00EF28E1" w:rsidRDefault="00EF28E1" w:rsidP="00475B49">
            <w:pPr>
              <w:ind w:right="49"/>
              <w:jc w:val="center"/>
              <w:rPr>
                <w:rFonts w:ascii="Palatino Linotype" w:hAnsi="Palatino Linotype" w:cs="Arial"/>
                <w:b/>
              </w:rPr>
            </w:pPr>
          </w:p>
          <w:p w:rsidR="00EF28E1" w:rsidRDefault="00EF28E1" w:rsidP="00475B49">
            <w:pPr>
              <w:ind w:right="49"/>
              <w:jc w:val="center"/>
              <w:rPr>
                <w:rFonts w:ascii="Palatino Linotype" w:hAnsi="Palatino Linotype" w:cs="Arial"/>
                <w:b/>
              </w:rPr>
            </w:pPr>
          </w:p>
          <w:p w:rsidR="00475B49" w:rsidRDefault="00475B49" w:rsidP="00475B49">
            <w:pPr>
              <w:ind w:right="49"/>
              <w:jc w:val="center"/>
              <w:rPr>
                <w:rFonts w:ascii="Palatino Linotype" w:hAnsi="Palatino Linotype" w:cs="Arial"/>
                <w:b/>
              </w:rPr>
            </w:pPr>
            <w:r w:rsidRPr="0061470D">
              <w:rPr>
                <w:rFonts w:ascii="Palatino Linotype" w:hAnsi="Palatino Linotype" w:cs="Arial"/>
                <w:b/>
              </w:rPr>
              <w:t>EVA ABAID YAPUR</w:t>
            </w:r>
          </w:p>
          <w:p w:rsidR="00475B49" w:rsidRDefault="00475B49" w:rsidP="00EF28E1">
            <w:pPr>
              <w:ind w:right="49"/>
              <w:jc w:val="center"/>
              <w:rPr>
                <w:rFonts w:ascii="Palatino Linotype" w:hAnsi="Palatino Linotype" w:cs="Arial"/>
                <w:b/>
              </w:rPr>
            </w:pPr>
            <w:r w:rsidRPr="0061470D">
              <w:rPr>
                <w:rFonts w:ascii="Palatino Linotype" w:hAnsi="Palatino Linotype" w:cs="Arial"/>
                <w:b/>
              </w:rPr>
              <w:t>COMISIONADA</w:t>
            </w:r>
          </w:p>
          <w:p w:rsidR="003024CB" w:rsidRPr="00AB7173" w:rsidRDefault="003024CB" w:rsidP="00EF28E1">
            <w:pPr>
              <w:ind w:right="49"/>
              <w:jc w:val="center"/>
              <w:rPr>
                <w:rFonts w:ascii="Palatino Linotype" w:hAnsi="Palatino Linotype" w:cs="Arial"/>
                <w:b/>
              </w:rPr>
            </w:pPr>
            <w:r>
              <w:rPr>
                <w:rFonts w:ascii="Palatino Linotype" w:hAnsi="Palatino Linotype" w:cs="Arial"/>
                <w:b/>
              </w:rPr>
              <w:t>(RÚBRICA)</w:t>
            </w:r>
            <w:bookmarkStart w:id="0" w:name="_GoBack"/>
            <w:bookmarkEnd w:id="0"/>
          </w:p>
        </w:tc>
      </w:tr>
    </w:tbl>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EF28E1" w:rsidRDefault="00EF28E1" w:rsidP="001B5DD5">
      <w:pPr>
        <w:ind w:right="49"/>
        <w:jc w:val="both"/>
        <w:rPr>
          <w:rFonts w:ascii="Palatino Linotype" w:eastAsia="Calibri" w:hAnsi="Palatino Linotype" w:cs="Arial"/>
          <w:color w:val="000000" w:themeColor="text1"/>
          <w:sz w:val="18"/>
          <w:szCs w:val="20"/>
        </w:rPr>
      </w:pPr>
    </w:p>
    <w:p w:rsidR="00EF28E1" w:rsidRDefault="00EF28E1" w:rsidP="001B5DD5">
      <w:pPr>
        <w:ind w:right="49"/>
        <w:jc w:val="both"/>
        <w:rPr>
          <w:rFonts w:ascii="Palatino Linotype" w:eastAsia="Calibri" w:hAnsi="Palatino Linotype" w:cs="Arial"/>
          <w:color w:val="000000" w:themeColor="text1"/>
          <w:sz w:val="18"/>
          <w:szCs w:val="20"/>
        </w:rPr>
      </w:pPr>
    </w:p>
    <w:p w:rsidR="00EF28E1" w:rsidRDefault="00EF28E1" w:rsidP="001B5DD5">
      <w:pPr>
        <w:ind w:right="49"/>
        <w:jc w:val="both"/>
        <w:rPr>
          <w:rFonts w:ascii="Palatino Linotype" w:eastAsia="Calibri" w:hAnsi="Palatino Linotype" w:cs="Arial"/>
          <w:color w:val="000000" w:themeColor="text1"/>
          <w:sz w:val="18"/>
          <w:szCs w:val="20"/>
        </w:rPr>
      </w:pPr>
    </w:p>
    <w:p w:rsidR="00EF28E1" w:rsidRDefault="00EF28E1" w:rsidP="001B5DD5">
      <w:pPr>
        <w:ind w:right="49"/>
        <w:jc w:val="both"/>
        <w:rPr>
          <w:rFonts w:ascii="Palatino Linotype" w:eastAsia="Calibri" w:hAnsi="Palatino Linotype" w:cs="Arial"/>
          <w:color w:val="000000" w:themeColor="text1"/>
          <w:sz w:val="18"/>
          <w:szCs w:val="20"/>
        </w:rPr>
      </w:pPr>
    </w:p>
    <w:p w:rsidR="00F14A3E" w:rsidRPr="00EF28E1" w:rsidRDefault="00F7009C" w:rsidP="001B5DD5">
      <w:pPr>
        <w:ind w:right="49"/>
        <w:jc w:val="both"/>
        <w:rPr>
          <w:rFonts w:ascii="Palatino Linotype" w:eastAsia="Calibri" w:hAnsi="Palatino Linotype" w:cs="Arial"/>
          <w:color w:val="000000" w:themeColor="text1"/>
          <w:sz w:val="20"/>
          <w:szCs w:val="20"/>
        </w:rPr>
      </w:pPr>
      <w:r w:rsidRPr="00EF28E1">
        <w:rPr>
          <w:rFonts w:ascii="Palatino Linotype" w:eastAsia="Calibri" w:hAnsi="Palatino Linotype" w:cs="Arial"/>
          <w:color w:val="000000" w:themeColor="text1"/>
          <w:sz w:val="20"/>
          <w:szCs w:val="20"/>
        </w:rPr>
        <w:t>Esta hoja corresponde al voto particular emitido en</w:t>
      </w:r>
      <w:r w:rsidR="00AB7173" w:rsidRPr="00EF28E1">
        <w:rPr>
          <w:rFonts w:ascii="Palatino Linotype" w:eastAsia="Calibri" w:hAnsi="Palatino Linotype" w:cs="Arial"/>
          <w:color w:val="000000" w:themeColor="text1"/>
          <w:sz w:val="20"/>
          <w:szCs w:val="20"/>
        </w:rPr>
        <w:t xml:space="preserve"> la resolución</w:t>
      </w:r>
      <w:r w:rsidRPr="00EF28E1">
        <w:rPr>
          <w:rFonts w:ascii="Palatino Linotype" w:eastAsia="Calibri" w:hAnsi="Palatino Linotype" w:cs="Arial"/>
          <w:color w:val="000000" w:themeColor="text1"/>
          <w:sz w:val="20"/>
          <w:szCs w:val="20"/>
        </w:rPr>
        <w:t xml:space="preserve"> </w:t>
      </w:r>
      <w:r w:rsidR="00AB7173" w:rsidRPr="00EF28E1">
        <w:rPr>
          <w:rFonts w:ascii="Palatino Linotype" w:eastAsia="Calibri" w:hAnsi="Palatino Linotype" w:cs="Arial"/>
          <w:color w:val="000000" w:themeColor="text1"/>
          <w:sz w:val="20"/>
          <w:szCs w:val="20"/>
        </w:rPr>
        <w:t>d</w:t>
      </w:r>
      <w:r w:rsidRPr="00EF28E1">
        <w:rPr>
          <w:rFonts w:ascii="Palatino Linotype" w:eastAsia="Calibri" w:hAnsi="Palatino Linotype" w:cs="Arial"/>
          <w:color w:val="000000" w:themeColor="text1"/>
          <w:sz w:val="20"/>
          <w:szCs w:val="20"/>
        </w:rPr>
        <w:t>el recurso de revisión 0</w:t>
      </w:r>
      <w:r w:rsidR="00787892" w:rsidRPr="00EF28E1">
        <w:rPr>
          <w:rFonts w:ascii="Palatino Linotype" w:eastAsia="Calibri" w:hAnsi="Palatino Linotype" w:cs="Arial"/>
          <w:color w:val="000000" w:themeColor="text1"/>
          <w:sz w:val="20"/>
          <w:szCs w:val="20"/>
        </w:rPr>
        <w:t>4403</w:t>
      </w:r>
      <w:r w:rsidR="006078FA" w:rsidRPr="00EF28E1">
        <w:rPr>
          <w:rFonts w:ascii="Palatino Linotype" w:eastAsia="Calibri" w:hAnsi="Palatino Linotype" w:cs="Arial"/>
          <w:color w:val="000000" w:themeColor="text1"/>
          <w:sz w:val="20"/>
          <w:szCs w:val="20"/>
        </w:rPr>
        <w:t>/INFOEM/IP/RR/2018</w:t>
      </w:r>
      <w:r w:rsidRPr="00EF28E1">
        <w:rPr>
          <w:rFonts w:ascii="Palatino Linotype" w:eastAsia="Calibri" w:hAnsi="Palatino Linotype" w:cs="Arial"/>
          <w:color w:val="000000" w:themeColor="text1"/>
          <w:sz w:val="20"/>
          <w:szCs w:val="20"/>
        </w:rPr>
        <w:t xml:space="preserve">, aprobado el </w:t>
      </w:r>
      <w:r w:rsidR="00787892" w:rsidRPr="00EF28E1">
        <w:rPr>
          <w:rFonts w:ascii="Palatino Linotype" w:eastAsia="Calibri" w:hAnsi="Palatino Linotype" w:cs="Arial"/>
          <w:color w:val="000000" w:themeColor="text1"/>
          <w:sz w:val="20"/>
          <w:szCs w:val="20"/>
        </w:rPr>
        <w:t>trece de febrero de dos mil diecinueve</w:t>
      </w:r>
      <w:r w:rsidRPr="00EF28E1">
        <w:rPr>
          <w:rFonts w:ascii="Palatino Linotype" w:eastAsia="Calibri" w:hAnsi="Palatino Linotype" w:cs="Arial"/>
          <w:color w:val="000000" w:themeColor="text1"/>
          <w:sz w:val="20"/>
          <w:szCs w:val="20"/>
        </w:rPr>
        <w:t>.</w:t>
      </w:r>
      <w:r w:rsidR="00D21672" w:rsidRPr="00EF28E1">
        <w:rPr>
          <w:rFonts w:ascii="Palatino Linotype" w:eastAsia="Calibri" w:hAnsi="Palatino Linotype" w:cs="Arial"/>
          <w:color w:val="000000" w:themeColor="text1"/>
          <w:sz w:val="20"/>
          <w:szCs w:val="20"/>
        </w:rPr>
        <w:t xml:space="preserve"> </w:t>
      </w:r>
    </w:p>
    <w:p w:rsidR="00EF28E1" w:rsidRPr="00EF28E1" w:rsidRDefault="00EF28E1" w:rsidP="001B5DD5">
      <w:pPr>
        <w:ind w:right="49"/>
        <w:jc w:val="both"/>
        <w:rPr>
          <w:rFonts w:ascii="Palatino Linotype" w:eastAsia="Calibri" w:hAnsi="Palatino Linotype" w:cs="Arial"/>
          <w:color w:val="000000" w:themeColor="text1"/>
          <w:sz w:val="8"/>
          <w:szCs w:val="8"/>
        </w:rPr>
      </w:pPr>
    </w:p>
    <w:p w:rsidR="00F7009C" w:rsidRPr="00EF28E1" w:rsidRDefault="00A12170" w:rsidP="001B5DD5">
      <w:pPr>
        <w:ind w:right="49"/>
        <w:jc w:val="both"/>
        <w:rPr>
          <w:rFonts w:ascii="Palatino Linotype" w:eastAsia="Calibri" w:hAnsi="Palatino Linotype" w:cs="Arial"/>
          <w:color w:val="000000" w:themeColor="text1"/>
          <w:sz w:val="20"/>
          <w:szCs w:val="20"/>
        </w:rPr>
      </w:pPr>
      <w:r w:rsidRPr="00EF28E1">
        <w:rPr>
          <w:rFonts w:ascii="Palatino Linotype" w:eastAsia="Calibri" w:hAnsi="Palatino Linotype" w:cs="Arial"/>
          <w:color w:val="000000" w:themeColor="text1"/>
          <w:sz w:val="20"/>
          <w:szCs w:val="20"/>
        </w:rPr>
        <w:t>YSM/EJCA</w:t>
      </w:r>
    </w:p>
    <w:sectPr w:rsidR="00F7009C" w:rsidRPr="00EF28E1"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EBE" w:rsidRDefault="00597EBE" w:rsidP="00C80F8C">
      <w:r>
        <w:separator/>
      </w:r>
    </w:p>
  </w:endnote>
  <w:endnote w:type="continuationSeparator" w:id="0">
    <w:p w:rsidR="00597EBE" w:rsidRDefault="00597E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84" w:rsidRDefault="00D51E84" w:rsidP="003056D9">
    <w:pPr>
      <w:pStyle w:val="Piedepgina"/>
      <w:tabs>
        <w:tab w:val="clear" w:pos="4252"/>
        <w:tab w:val="left" w:pos="4228"/>
      </w:tabs>
      <w:rPr>
        <w:rFonts w:ascii="Palatino Linotype" w:hAnsi="Palatino Linotype" w:cs="Arial"/>
        <w:b/>
        <w:bCs/>
        <w:sz w:val="20"/>
        <w:szCs w:val="20"/>
      </w:rPr>
    </w:pPr>
  </w:p>
  <w:p w:rsidR="00D51E84" w:rsidRDefault="00D51E84" w:rsidP="003056D9">
    <w:pPr>
      <w:pStyle w:val="Piedepgina"/>
      <w:tabs>
        <w:tab w:val="clear" w:pos="4252"/>
        <w:tab w:val="left" w:pos="4228"/>
      </w:tabs>
      <w:rPr>
        <w:rFonts w:ascii="Palatino Linotype" w:hAnsi="Palatino Linotype" w:cs="Arial"/>
        <w:b/>
        <w:bCs/>
        <w:sz w:val="20"/>
        <w:szCs w:val="20"/>
      </w:rPr>
    </w:pPr>
  </w:p>
  <w:p w:rsidR="00D51E84" w:rsidRDefault="00D51E84" w:rsidP="003056D9">
    <w:pPr>
      <w:pStyle w:val="Piedepgina"/>
      <w:tabs>
        <w:tab w:val="clear" w:pos="4252"/>
        <w:tab w:val="left" w:pos="4228"/>
      </w:tabs>
      <w:rPr>
        <w:rFonts w:ascii="Palatino Linotype" w:hAnsi="Palatino Linotype" w:cs="Arial"/>
        <w:b/>
        <w:bCs/>
        <w:sz w:val="20"/>
        <w:szCs w:val="20"/>
      </w:rPr>
    </w:pPr>
  </w:p>
  <w:p w:rsidR="00D51E84" w:rsidRDefault="00D51E84" w:rsidP="000E2B1A">
    <w:pPr>
      <w:pStyle w:val="Piedepgina"/>
      <w:rPr>
        <w:rFonts w:ascii="Palatino Linotype" w:hAnsi="Palatino Linotype" w:cs="Arial"/>
        <w:b/>
        <w:bCs/>
        <w:sz w:val="20"/>
        <w:szCs w:val="20"/>
      </w:rPr>
    </w:pPr>
  </w:p>
  <w:p w:rsidR="00D51E84" w:rsidRPr="00F12350" w:rsidRDefault="00D51E8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024C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024C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D51E84" w:rsidRDefault="00D51E8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EBE" w:rsidRDefault="00597EBE" w:rsidP="00C80F8C">
      <w:r>
        <w:separator/>
      </w:r>
    </w:p>
  </w:footnote>
  <w:footnote w:type="continuationSeparator" w:id="0">
    <w:p w:rsidR="00597EBE" w:rsidRDefault="00597EB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84" w:rsidRDefault="003024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84" w:rsidRDefault="00D51E8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51E84" w:rsidRDefault="00D51E84" w:rsidP="00D51E84">
    <w:pPr>
      <w:pStyle w:val="Encabezado"/>
      <w:tabs>
        <w:tab w:val="clear" w:pos="4252"/>
        <w:tab w:val="clear" w:pos="8504"/>
        <w:tab w:val="left" w:pos="2326"/>
      </w:tabs>
      <w:ind w:right="49"/>
      <w:jc w:val="right"/>
      <w:rPr>
        <w:rFonts w:ascii="Palatino Linotype" w:hAnsi="Palatino Linotype"/>
      </w:rPr>
    </w:pPr>
  </w:p>
  <w:p w:rsidR="00D51E84" w:rsidRDefault="00D51E84" w:rsidP="00D51E84">
    <w:pPr>
      <w:pStyle w:val="Encabezado"/>
      <w:tabs>
        <w:tab w:val="clear" w:pos="4252"/>
        <w:tab w:val="clear" w:pos="8504"/>
        <w:tab w:val="left" w:pos="2326"/>
      </w:tabs>
      <w:ind w:right="49"/>
      <w:jc w:val="right"/>
      <w:rPr>
        <w:rFonts w:ascii="Palatino Linotype" w:hAnsi="Palatino Linotype" w:cs="Arial"/>
        <w:sz w:val="20"/>
        <w:szCs w:val="20"/>
      </w:rPr>
    </w:pPr>
  </w:p>
  <w:p w:rsidR="00D51E84" w:rsidRDefault="00D51E84" w:rsidP="00D51E84">
    <w:pPr>
      <w:pStyle w:val="Encabezado"/>
      <w:tabs>
        <w:tab w:val="clear" w:pos="4252"/>
        <w:tab w:val="clear" w:pos="8504"/>
        <w:tab w:val="left" w:pos="2326"/>
      </w:tabs>
      <w:ind w:right="49"/>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51E84" w:rsidRDefault="003024C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26.85pt;height:92.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D51E84" w:rsidRPr="00706042">
      <w:rPr>
        <w:rFonts w:ascii="Palatino Linotype" w:hAnsi="Palatino Linotype" w:cs="Arial"/>
        <w:sz w:val="20"/>
        <w:szCs w:val="20"/>
      </w:rPr>
      <w:t xml:space="preserve">RECURSO DE REVISIÓN </w:t>
    </w:r>
    <w:r w:rsidR="00D51E84">
      <w:rPr>
        <w:rFonts w:ascii="Palatino Linotype" w:hAnsi="Palatino Linotype" w:cs="Arial"/>
        <w:sz w:val="20"/>
        <w:szCs w:val="20"/>
      </w:rPr>
      <w:t>04403/INFOEM/IP</w:t>
    </w:r>
    <w:r w:rsidR="00D51E84" w:rsidRPr="00706042">
      <w:rPr>
        <w:rFonts w:ascii="Palatino Linotype" w:hAnsi="Palatino Linotype" w:cs="Arial"/>
        <w:sz w:val="20"/>
        <w:szCs w:val="20"/>
      </w:rPr>
      <w:t>/RR/201</w:t>
    </w:r>
    <w:r w:rsidR="00D51E84">
      <w:rPr>
        <w:rFonts w:ascii="Palatino Linotype" w:hAnsi="Palatino Linotype" w:cs="Arial"/>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84" w:rsidRDefault="003024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3"/>
  </w:num>
  <w:num w:numId="6">
    <w:abstractNumId w:val="9"/>
  </w:num>
  <w:num w:numId="7">
    <w:abstractNumId w:val="15"/>
  </w:num>
  <w:num w:numId="8">
    <w:abstractNumId w:val="8"/>
  </w:num>
  <w:num w:numId="9">
    <w:abstractNumId w:val="11"/>
  </w:num>
  <w:num w:numId="10">
    <w:abstractNumId w:val="3"/>
  </w:num>
  <w:num w:numId="11">
    <w:abstractNumId w:val="12"/>
  </w:num>
  <w:num w:numId="12">
    <w:abstractNumId w:val="7"/>
  </w:num>
  <w:num w:numId="13">
    <w:abstractNumId w:val="14"/>
  </w:num>
  <w:num w:numId="14">
    <w:abstractNumId w:val="4"/>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E5711"/>
    <w:rsid w:val="002F4562"/>
    <w:rsid w:val="002F5CF7"/>
    <w:rsid w:val="0030072F"/>
    <w:rsid w:val="003024CB"/>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61D2"/>
    <w:rsid w:val="00475B49"/>
    <w:rsid w:val="004776FF"/>
    <w:rsid w:val="00493D28"/>
    <w:rsid w:val="00496CEA"/>
    <w:rsid w:val="004B17F5"/>
    <w:rsid w:val="004B7325"/>
    <w:rsid w:val="004C40EA"/>
    <w:rsid w:val="004C64D9"/>
    <w:rsid w:val="004D0A26"/>
    <w:rsid w:val="004D34A9"/>
    <w:rsid w:val="004F206F"/>
    <w:rsid w:val="00500FFD"/>
    <w:rsid w:val="00507AD1"/>
    <w:rsid w:val="00516914"/>
    <w:rsid w:val="005228B4"/>
    <w:rsid w:val="005236B6"/>
    <w:rsid w:val="005318AB"/>
    <w:rsid w:val="005321E3"/>
    <w:rsid w:val="00552317"/>
    <w:rsid w:val="0056089B"/>
    <w:rsid w:val="00562649"/>
    <w:rsid w:val="00575235"/>
    <w:rsid w:val="0058067E"/>
    <w:rsid w:val="0058639E"/>
    <w:rsid w:val="005870DF"/>
    <w:rsid w:val="0058776D"/>
    <w:rsid w:val="00592A18"/>
    <w:rsid w:val="00597EBE"/>
    <w:rsid w:val="005B4F98"/>
    <w:rsid w:val="005B773B"/>
    <w:rsid w:val="005C66D4"/>
    <w:rsid w:val="005D14C4"/>
    <w:rsid w:val="005D1946"/>
    <w:rsid w:val="005F47EA"/>
    <w:rsid w:val="006078FA"/>
    <w:rsid w:val="00612544"/>
    <w:rsid w:val="0061616C"/>
    <w:rsid w:val="006301B2"/>
    <w:rsid w:val="00634485"/>
    <w:rsid w:val="0063673D"/>
    <w:rsid w:val="00642334"/>
    <w:rsid w:val="00645B0C"/>
    <w:rsid w:val="00646A97"/>
    <w:rsid w:val="00663A16"/>
    <w:rsid w:val="0067221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72360"/>
    <w:rsid w:val="0078087A"/>
    <w:rsid w:val="00787892"/>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2AFC"/>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75AA3"/>
    <w:rsid w:val="00975EB9"/>
    <w:rsid w:val="00976BAB"/>
    <w:rsid w:val="009773AF"/>
    <w:rsid w:val="00983759"/>
    <w:rsid w:val="00986740"/>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1BCE"/>
    <w:rsid w:val="00BD7483"/>
    <w:rsid w:val="00C06D9C"/>
    <w:rsid w:val="00C1644D"/>
    <w:rsid w:val="00C175E7"/>
    <w:rsid w:val="00C22B05"/>
    <w:rsid w:val="00C30621"/>
    <w:rsid w:val="00C307F0"/>
    <w:rsid w:val="00C4493E"/>
    <w:rsid w:val="00C5286C"/>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1E84"/>
    <w:rsid w:val="00D557C2"/>
    <w:rsid w:val="00D64514"/>
    <w:rsid w:val="00D64F32"/>
    <w:rsid w:val="00D66D4C"/>
    <w:rsid w:val="00D93CE4"/>
    <w:rsid w:val="00DA5071"/>
    <w:rsid w:val="00DA5209"/>
    <w:rsid w:val="00DC223E"/>
    <w:rsid w:val="00DD6A6C"/>
    <w:rsid w:val="00DE6440"/>
    <w:rsid w:val="00DF733A"/>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91550"/>
    <w:rsid w:val="00E91A10"/>
    <w:rsid w:val="00EA27CB"/>
    <w:rsid w:val="00EA5EEB"/>
    <w:rsid w:val="00EA7874"/>
    <w:rsid w:val="00EB7480"/>
    <w:rsid w:val="00EB7DE6"/>
    <w:rsid w:val="00EB7F1A"/>
    <w:rsid w:val="00EC0002"/>
    <w:rsid w:val="00ED00A9"/>
    <w:rsid w:val="00ED5EE9"/>
    <w:rsid w:val="00EF062F"/>
    <w:rsid w:val="00EF28E1"/>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085A-7F02-4B6C-B16F-7E1BD356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2019-02-18T19:45:00Z</cp:lastPrinted>
  <dcterms:created xsi:type="dcterms:W3CDTF">2019-02-15T19:52:00Z</dcterms:created>
  <dcterms:modified xsi:type="dcterms:W3CDTF">2019-03-14T23:55:00Z</dcterms:modified>
</cp:coreProperties>
</file>